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教育部哲学社会科学研究专项（党的二十届三中全会精神研究）刊发、采纳情况一览表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00"/>
        <w:gridCol w:w="3220"/>
        <w:gridCol w:w="3689"/>
        <w:gridCol w:w="2410"/>
        <w:gridCol w:w="2017"/>
      </w:tblGrid>
      <w:tr>
        <w:trPr>
          <w:trHeight w:val="480" w:hRule="atLeast"/>
        </w:trPr>
        <w:tc>
          <w:tcPr>
            <w:tcW w:w="1205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78" w:hRule="atLeast"/>
        </w:trPr>
        <w:tc>
          <w:tcPr>
            <w:tcW w:w="14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申报选题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2B72438A"/>
    <w:rsid w:val="FA7FD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11</TotalTime>
  <ScaleCrop>false</ScaleCrop>
  <LinksUpToDate>false</LinksUpToDate>
  <CharactersWithSpaces>92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2022-11-15T16:35:00Z</dcterms:created>
  <dc:creator>Windows 用户</dc:creator>
  <cp:lastModifiedBy>time windows</cp:lastModifiedBy>
  <dcterms:modified xsi:type="dcterms:W3CDTF">2024-08-08T07:45:45Z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7898EF38BE6483A32907B466AA503671_43</vt:lpwstr>
  </property>
</Properties>
</file>